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20.09.2021 N 2613-р</w:t>
              <w:br/>
              <w:t xml:space="preserve">&lt;Об утверждении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20 сентября 2021 г. N 2613-р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25" w:tooltip="КОНЦЕПЦИЯ">
        <w:r>
          <w:rPr>
            <w:sz w:val="20"/>
            <w:color w:val="0000ff"/>
          </w:rPr>
          <w:t xml:space="preserve">Концепцию</w:t>
        </w:r>
      </w:hyperlink>
      <w:r>
        <w:rPr>
          <w:sz w:val="20"/>
        </w:rPr>
        <w:t xml:space="preserve">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Минкультуры России совместно с заинтересованными федеральными органами исполнительной власти и организациями разработать проект плана мероприятий по реализации </w:t>
      </w:r>
      <w:hyperlink w:history="0" w:anchor="P25" w:tooltip="КОНЦЕПЦИЯ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 и представить его в Правительство Российской Федерации до 1 марта 2022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исполнительной власти субъектов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разработать комплекс мер, направленных на развитие творческих (креативных)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учитывать положения </w:t>
      </w:r>
      <w:hyperlink w:history="0" w:anchor="P25" w:tooltip="КОНЦЕПЦИЯ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 при разработке региональных стратегий социально-экономического развития.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сентября 2021 г. N 2613-р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КОНЦЕПЦИЯ</w:t>
      </w:r>
    </w:p>
    <w:p>
      <w:pPr>
        <w:pStyle w:val="2"/>
        <w:jc w:val="center"/>
      </w:pPr>
      <w:r>
        <w:rPr>
          <w:sz w:val="20"/>
        </w:rPr>
        <w:t xml:space="preserve">РАЗВИТИЯ ТВОРЧЕСКИХ (КРЕАТИВНЫХ) ИНДУСТРИЙ И МЕХАНИЗМОВ</w:t>
      </w:r>
    </w:p>
    <w:p>
      <w:pPr>
        <w:pStyle w:val="2"/>
        <w:jc w:val="center"/>
      </w:pPr>
      <w:r>
        <w:rPr>
          <w:sz w:val="20"/>
        </w:rPr>
        <w:t xml:space="preserve">ОСУЩЕСТВЛЕНИЯ ИХ ГОСУДАРСТВЕННОЙ ПОДДЕРЖКИ В КРУПНЫХ</w:t>
      </w:r>
    </w:p>
    <w:p>
      <w:pPr>
        <w:pStyle w:val="2"/>
        <w:jc w:val="center"/>
      </w:pPr>
      <w:r>
        <w:rPr>
          <w:sz w:val="20"/>
        </w:rPr>
        <w:t xml:space="preserve">И КРУПНЕЙШИХ ГОРОДСКИХ АГЛОМЕРАЦИЯХ ДО 2030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Концепция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 (далее - Концепция) определяет цели, задачи, приоритеты, принципы, направления и механизмы государственной поддержки творческих (креативных) индустрий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разработана с учетом положений </w:t>
      </w:r>
      <w:hyperlink w:history="0" r:id="rId7" w:tooltip="Указ Президента РФ от 24.12.2014 N 808 (ред. от 25.01.2023) &quot;Об утверждении Основ государственной культурной политики&quot; {КонсультантПлюс}">
        <w:r>
          <w:rPr>
            <w:sz w:val="20"/>
            <w:color w:val="0000ff"/>
          </w:rPr>
          <w:t xml:space="preserve">Основ</w:t>
        </w:r>
      </w:hyperlink>
      <w:r>
        <w:rPr>
          <w:sz w:val="20"/>
        </w:rPr>
        <w:t xml:space="preserve"> государственной культурной политики, утвержденных Указом Президента Российской Федерации от 24 декабря 2014 г. N 808 "Об утверждении Основ государственной культурной политики", </w:t>
      </w:r>
      <w:hyperlink w:history="0" r:id="rId8" w:tooltip="Указ Президента РФ от 01.12.2016 N 642 (ред. от 15.03.2021) &quot;О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научно-технологического развития Российской Федерации, утвержденной Указом Президента Российской Федерации от 1 декабря 2016 г. N 642 "О Стратегии научно-технологического развития Российской Федерации", и направлена на достижение целей, задач и приоритетов пространственного развития Российской Федерации, определенных </w:t>
      </w:r>
      <w:hyperlink w:history="0" r:id="rId9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Концепции будет способствовать достижению следующих национальных целей развития Российской Федерации, определенных </w:t>
      </w:r>
      <w:hyperlink w:history="0" r:id="rId10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2020 г. N 474 "О национальных целях развития Российской Федерации на период до 2030 года":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для самореализации и развития талантов;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достойный, эффективный труд и успешное предпринимательство;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цифровая трансформация.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Правовую основу Концепции составляют </w:t>
      </w:r>
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</w:t>
      </w:r>
      <w:hyperlink w:history="0" r:id="rId12" w:tooltip="&quot;Основы законодательства Российской Федерации о культуре&quot; (утв. ВС РФ 09.10.1992 N 3612-1) (ред. от 29.05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Российской Федерации "Основы законодательства Российской Федерации о культуре", Гражданский </w:t>
      </w:r>
      <w:hyperlink w:history="0" r:id="rId13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Федерации, федеральное и региональное законодательство в сфере культуры, поддержки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настоящей Концепции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"креативная экономика" - тип экономики, основанный на капитализации интеллектуальной собственности во всех областях человеческой деятельности - научной, научно-технической, культурной и в целом творческой деятельности. Ядром креативной экономики являются творческие (креативные) индустрии;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"креативный кластер" - взаимосвязанные организации и предприятия, размещенные на территории компактно расположенных объектов недвижимости. Креативные кластеры развиваются управляющей компанией под единым брендом и объединяют резидентов (арендаторов) из секторов творческих (креативных) индустрий, субъектов творческого (креативного) предпринимательства в целом, имеют необходимую инфраструктуру для творческой и (или) предпринимательской деятельности, являются центром для создателей и потребителей творческого продукта и позитивно воздействуют на территорию своего присутствия;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"творческие (креативные) индустрии" - сферы деятельности, в которых компании, организации, объединения и индивидуальные предприниматели в процессе творческой и культурной активности, распоряжения интеллектуальной собственностью производят товары и услуги, обладающие экономической ценностью, в том числе обеспечивающие формирование гармонично развитой личности и рост качества жизни российского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творческим (креативным) индустриям относятся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индустрии, основанные на использовании историко-культурного наследия (народно-художественные промыслы и ремесла, музейная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индустрии, основанные на искусстве (театр, музыка, кино, анимация, живопись, деятельность галерей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современные медиа и производство цифрового контента (кино-, видео-, аудио-, анимационное производство, обработка данных и разработка программного обеспечения, виртуальная и дополненная реальность, компьютерные и видеоигры, блогерство, печатная индустрия, средства массовой информации, реклама и пр.);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прикладные творческие (креативные) индустрии (архитектура, промышленный дизайн, индустрия моды, гастрономическая индустрия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точки зрения территориальной привязки субъектов творческих (креативных) индустрий можно выделить: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"локальные творческие (креативные) индустрии" - совокупность субъектов, деятельность которых направлена преимущественно на создание рабочих мест, обустройство и достижение привлекательности, в том числе туристской, конкретных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"инвестиционные творческие (креативные) индустрии" - совокупность субъектов, деятельность которых направлена на создание и (или) использование результатов творческой деятельности, преимущественно не связанных с конкретной местностью или способом производства. Консолидированным показателем развития субъектов в таких индустриях является объем инвестиций в основной капитал и формирование нематериальных активов, а влияние на другие сектора экономики обусловлено мультипликативным эффектом от использования принадлежащей им интеллектуальной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"творческий (креативный) инкубатор" - отдельный вид бизнес-инкубатора, специализирующегося на поддержке и развитии творческих (креативных) индустрий и творческого (креативного) предпринимательства в целом. Задачи творческого (креативного) инкубатора заключаются в содействии и оказании услуг, необходимых для формирования устойчивого бизнеса, доработке и актуализации творческой идеи для соответствующего вида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"творческое (креативное) предпринимательство" - экономическая деятельность, направленная на получение прибыли за счет создания и (или) использования результатов интеллектуальной деятельности и являющаяся необходимой платформой и ресурсом для формирования и развития творческих (креативных)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"экосистема творческих (креативных) индустрий" - совокупность институциональных условий и механизмов взаимодействия субъектов, участвующих в формировании и развитии творческих (креативных) индустрий, включая производство, дистрибуцию и популяризацию творческих (креативных) товаров и услуг, а также подготовку кадров.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тенденции развития творческих</w:t>
      </w:r>
    </w:p>
    <w:p>
      <w:pPr>
        <w:pStyle w:val="2"/>
        <w:jc w:val="center"/>
      </w:pPr>
      <w:r>
        <w:rPr>
          <w:sz w:val="20"/>
        </w:rPr>
        <w:t xml:space="preserve">(креативных)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подходами Организации Объединенных Наций по вопросам образования, науки и культуры (ЮНЕСКО) творческие (креативные) индустрии сочетают создание, производство и коммерциализацию товаров и услуг, которые преимущественно основаны на использовании результатов интеллектуальной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2020 год ярко прослеживается ряд глобальных трендов: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основную долю добавленной стоимости различных товаров и услуг во все большем количестве секторов экономики обеспечивают именно результаты интеллектуальной, творческой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всех видах творческой деятельности активно распространяются дистанционные формы работы, а доступность результатов такой работы для создания новых товаров и услуг крайне высока вследствие масштабного внедрения информационно-телекоммуникационных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распространение и воспроизводство многих товаров и услуг происходит исключительно в цифровой среде, а унификация материальных производств и развитая транспортная система сделали рынки глобальными.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Кризис, связанный с пандемией и сопутствующими ей экономическими, технологическими и социальными процессами, определил ряд структурных изменений, которые делают своевременным принятие Концепции. Так, форсированная цифровизация и трансформация структуры занятости населения в целом способствуют росту сектора креативной экономики и увеличению его доли в национальной экономике даже в кризисных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прогнозам в среднесрочном периоде развитие цифровых технологий (в том числе технологий машинного обучения и искусственного интеллекта, современных технологий производств) приведет к сокращению до половины существующих рабочих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Одним из наиболее перспективных направлений сохранения рабочих мест и создания новых являются творческие (креативные) индустрии, неразрывно связанные с творческой деятельностью человека, которая не может быть автоматизирована. Кроме того, сектор творческих (креативных) индустрий открывает широкие возможности для альтернативной занятости, в том числе для женщин, молодежи и лиц с ограниченными возможностями здоровья, что особенно актуально в период кризисных явлений в экономике.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Сектор творческих (креативных) индустрий обладает потенциалом создания высокой добавленной стоимости, что делает его привлекательным как для предпринимателей, так и для инвесторов. Для многих направлений сектора характерен относительно низкий барьер входа на рынок, что дает возможность развития своего дела широким слоям населения (в том числе женщинам, лицам с ограниченными возможностями здоровья, людям, проживающим в сельской местности и в малых городах), позволяет преодолеть ограничения развития, связанные с недостаточным объемом локального рынка и удаленностью места проживания предпринимателя, сохранять человеческий капитал в регионах и муниципальных образованиях, обеспечить сбалансированное территориальное развитие.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творческие (креативные) индустрии можно отнести к гуманитарным секторам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Сектор творческих (креативных) индустрий обеспечивает значимый вклад в мировую экономику: средняя доля сектора творческих (креативных) индустрий в мировом ВВП составляет 6,6 процента, в развитых странах эта доля достигает 8 - 12 процентов при среднегодовом росте в 15 процентов, что существенно превышает средние темпы роста мировой экономики (прогнозируется сохранение этой тенденции в среднесрочном периоде).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 в Российской Федерации, несмотря на высокий уровень образованности, развития науки и богатое историческое, культурное наследие, потенциал сектора креативной экономики недостаточно реализован - доля творческих (креативных) индустрий в экономике Российской Федерации составляет лишь 2,23 процента.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сектор творческих (креативных) индустрий в силу отсутствия привязки к локальному рынку, и обладая существенным экспортным потенциалом, растет.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4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пространственного развития Российской Федерации на период до 2025 года одной из основных проблем пространственного развития Российской Федерации является недостаточное количество центров экономического роста для обеспечения ускорения экономического роста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числу основных проблем пространственного развития Российской Федерации также отнесены высокая доля малопроизводительных и низкотехнологичных производств в структуре экономик субъектов Российской Федерации, а также низкий уровень предпринимательской активности в большинстве малых и средних городов, на сельских территориях за пределами крупных и крупнейших городских агломераций.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этих тенденций при реализации </w:t>
      </w:r>
      <w:hyperlink w:history="0" r:id="rId15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пространственного развития Российской Федерации на период до 2025 года необходимо фокусироваться и выбирать в качестве приоритетов поддержки виды предпринимательства, базирующиеся на использовании результатов творческой, интеллектуальной деятельности, вне зависимости от конкретных видов экономической деятельности, отраслей экономики и (или) доли материальной (производственной) составляющей в итоговом товаре и услуге.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Приоритетами деятельности органов государственной власти всех уровней должно стать увеличение доли такого предпринимательства во всех секторах экономики и особенно в тех, которые определены как перспективные экономические специализации субъектов Российской Федерации, а также поэтапное включение творческих (креативных) индустрий в число таких специализаций.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творческих (креативных) индустрий как в стоимостном плане, так и в объеме влечет за собой мультипликативный экономический эффект, выражающийся в том числе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расширении налогооблагаемой базы за счет выхода более качественной, клиент-ориентированной продукции и услуг с большей добавленной стоимостью на местные, региональные и международные рынки;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создании новых рабочих мест как в локальных творческих (креативных) индустриях, так и в инвестиционных творческих (креативных) индустриях и росте вклада творческих (креативных) индустрий в экономику страны в целом;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сокращении диспропорций социально-экономического развития, в том числе отставания уровня жизни населения сельских территорий от уровня жизни жителей городов, повышении уровня комфортности городской среды, в том числе в крупных и крупнейших городских агломерациях, за счет использования потенциала творческих (креативных)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повышении туристической привлекательности территорий субъектов Российской Федерации, содействии узнаваемости отечественных брендов, создании позитивного имиджа страны за рубежом, росте туристического и инвестиционного потенциала как Российской Федерации в целом, так и отдельных регионов.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Проблемы и барьеры развития творческих</w:t>
      </w:r>
    </w:p>
    <w:p>
      <w:pPr>
        <w:pStyle w:val="2"/>
        <w:jc w:val="center"/>
      </w:pPr>
      <w:r>
        <w:rPr>
          <w:sz w:val="20"/>
        </w:rPr>
        <w:t xml:space="preserve">(креативных)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Понятие творческих (креативных) индустрий непосредственно связано с региональной и национальной спецификой, отличается от страны к стране, универсального прикладного понимания творческих (креативных) индустрий в мире не существует. В результате простые, очевидные и сквозные для всех отраслей экономики критерии распознавания компаний, которые относятся к сектору креативной экономики,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государственной поддержки (малого и среднего бизнеса, промышленности, экспорта) сформированы для приоритетных отраслей индустриальной экономики и не учитывают специфику развития творческих (креативных) индустрий.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частности, на всех уровнях государственной власти стимулируется приобретение основных средств и оборудования (субсидируются процентные ставки и пр.), но не субсидируется оплата труда, что составляет основу затрат сектора креативной экономики. Создание экосистем поддержки инноваций при всей схожести ориентировано исключительно на технологические проекты (IT-сектор, медицина, фармацевтика, энергетический кластер и пр.).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Федеральные, региональные и муниципальные программы, за счет которых возможна поддержка, разрознены и не скоординированы. Ведомственный характер финансовых инструментов приводит к тому, что большинство перспективных компаний, создающих продукты на стыке культуры, цифровых технологий, промышленности, оказываются "вне контура" внимания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Налоговое законодательство Российской Федерации и система налогового администрирования не в полной мере учитывают специфику творческого (креативного) предпринимательства - особые механизмы поощрения авторов, а также то, что оборот интеллектуальных прав на стадии создания товара и (или) услуги не создает добавленной стоимости, а монетизация результатов творческого труда происходит, как правило, в момент потребления конечного продукта.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Творческие (креативные) индустрии сталкиваются с невозможностью однозначно определить оптимальный режим налогообложения создаваемых продуктов и услуг, у предпринимателей возрастают риски переквалификации сделок, административных штрафов и других санкций.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Творческие (креативные) индустрии критически зависят от защищенности и эффективности управления интеллектуальной собственностью. Однако существующие режимы оборота интеллектуальных прав, государственной регистрации сделок с такими правами и механизмы их защиты не позволяют многократно увеличить количество оборачиваемых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Недостаточно развиты современные инструменты контрактации и заключения лицензионных договоров, механизмы отслеживания нарушений исключительных прав как в онлайн (незаконное использование товарных знаков, распространение копий авторских моделей одежды или цифрового контента), так и в офлайн ("материальный" контрафакт и ввоз продукции, нарушающей интеллектуальные права российских компаний, с других территорий). Недостаточно развита судебная практика в части использования доказательной базы, особенно в цифровой среде, объективного и обоснованного определения размера ущерба.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Инфраструктура для развития творческого (креативного) предпринимательства и формирования устойчивых творческих (креативных) индустрий в регионах недостаточно развита. Креативные кластеры, несмотря на высокие риски этого вида предпринимательства, ставятся в один ряд с бизнес- и торговыми центрами.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как грантовых, так и возвратных (венчурных, инвестиционных) недостаточен для ускоренного развития творческого (креативного) предпринимательства. По данным рейтинга банков за 2018 год и Бюллетеня о текущих экономических тенденциях российской экономики N 43, инвестиции в создание нематериальных активов за счет кредитов банков не превышают 0,05 процента. Основным источником квазиинвестиций в развитие творческого (креативного) предпринимательства и поддержки творческих (креативных) индустрий по-прежнему остаются государственные программы, однако их доля в общем потоке инвестиций в экономику составляет не более 0,1 процента (23,4 и 26,8 млрд. рублей в 2018 году и 2019 году соответственно).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Регионы и города Российской Федерации крайне неравномерно включены в процесс развития творческих (креативных) индустрий и коммерциализации результатов интеллектуальной деятельности, зачастую конкурируют между собой вместо развития уникальной специализации и кооперации с учетом сильных сторон друг друга, а подавляющая наблюдаемая статистикой часть результатов интеллектуальной деятельности создается в г. Москве.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Крайняя степень неравномерности в оформлении прав на результаты интеллектуальной деятельности и извлечения коммерческого эффекта ведет к негативным последствиям - переезду людей в столичные регионы, расслоению и угрозе потери единого культурно-образовательного пространства, утраты возможностей экономического развития ряда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Глобальный характер сектора креативной экономики имеет в качестве оборотной стороны масштабный характер конкуренции за творческие и (или) предпринимательские кадры. Недостаточное внимание развитию и усилению присутствия российских товаров и услуг с высокой долей творческой, интеллектуальной составляющей на глобальных рынках создает риски оттока капитала и наиболее талантливой мобильной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Творческие (креативные) индустрии в России не обеспечивают в полной мере потребности внутреннего рынка, чья емкость превышает возможности отечественных творческих (креативных) индустрий. Дефицит предложения покрывается за счет импорта, который незначительно сократился с 2015 года преимущественно за счет неблагоприятного изменения курса валют.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Значительные расстояния и рассредоточенность людей, обладающих необходимыми творческими, исследовательскими, инженерными и предпринимательскими компетенциями, препятствуют созданию целостного, устойчивого и успешного бизнеса (необходимая "критическая масса" специалистов во многих регионах отсутствует).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Этот же вызов создает препятствия для распространения успешного опыта и практик по всей территории страны - расширению рынка культурных практик, технологическому трансферу.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Цели, задачи, приоритеты и принципы государственной</w:t>
      </w:r>
    </w:p>
    <w:p>
      <w:pPr>
        <w:pStyle w:val="2"/>
        <w:jc w:val="center"/>
      </w:pPr>
      <w:r>
        <w:rPr>
          <w:sz w:val="20"/>
        </w:rPr>
        <w:t xml:space="preserve">политики развития творческих (креативных) индустрий</w:t>
      </w:r>
    </w:p>
    <w:p>
      <w:pPr>
        <w:pStyle w:val="2"/>
        <w:jc w:val="center"/>
      </w:pPr>
      <w:r>
        <w:rPr>
          <w:sz w:val="20"/>
        </w:rPr>
        <w:t xml:space="preserve">и творческого (креативного) предпринимательства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Концепции является развитие национальной креативной экономики, основанной на человеческом капитале и историко-культурном наследии народов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определяет необходимый и достаточный набор механизмов для государственной поддержки творческого (креативного) предпринимательства в целом, а также создания необходимых условий для формирования и устойчивого развития творческих (креативных) индустрий с учетом "умной" специализации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Механизмы, определенные Концепцией, в равной степени реализуются не только в крупных и крупнейших городских агломерациях, но и в малых городах, и на сельских территориях с учетом присущих таким городам и территориям историко-культурных традиций, материального и нематериального наследия.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указанной цели необходимо решить в том числе следующие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ключевые параметры развития экосистемы творческих (креативных) индустрий,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исследовать сектор творческих (креативных) индустрий и оценить состояние креативной экономики в Российской Федерации в целом;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сформировать перечень приоритетных творческих (креативных) индустрий с учетом специализации и дифференциации субъектов Российской Федерации, сформировать необходимое информационное обеспечение для мониторинга и (или)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проанализировать и систематизировать действующие на федеральном, региональном и муниципальном уровнях меры поддержки творческих (креативных) индустрий, определить наиболее эффективные решения и пробелы в таких мерах;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создать условия для производства, распространения и популяризации товаров и услуг отечественных творческих (креативных) индустрий,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подходы к совершенствованию нормативно-правового регулирования и финансового обеспечения творческих (креативных) индустрий и творческого (креативного)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правовые параметры использования и коммерциализации неиспользуемых объектов организаций народных художественных промыслов и объектов культурного наследия для ведения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создать доступную и территориально равномерную инфраструктуру для творческих (креативных) индустрий, включающую креативные кластеры, творческие (креативные) инкубаторы, центры коллективного пользования специальным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создать инклюзивную институциональную среду и инфраструктуру, обеспечивающую творческую самореализацию и трудоустройство в секторе творческих (креативных) индустрий женщин, молодежи, а также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стимулировать рост числа предпринимателей, включая субъектов малого и среднего предпринимательства, а также увеличение количества рабочих мест в творческих (креативных) индустриях;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содействовать созданию и внедрению современных цифровых технологий для создания (производства) и распространения товаров и услуг отечественными творческими (креативными) индустриями;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разработать меры по развитию системы образования и развития компетенций, необходимых для творческих (креативных) индустрий и творческого (креативного) предпринимательства, в том числе созданию благоприятных условий для самореализации женщин, молодежи и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развивать международное сотрудничество в области творческих (креативных) индустрий, включая развитие приграничного сотрудничества в секторе креативной экономики, содействовать экспорту товаров и услуг отечественных творческих (креативных) индустрий.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Приоритетами государственной политики в сфере развития творческих (креативных) индустрий и творческого (креативного) предпринимательства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благоприятной среды (экосистемы) для творческого (креативного) предпринимательства,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условий, облегчающих доступ товаров и услуг отечественных творческих (креативных) индустрий на рынок, в том числе международный, обеспечивающих их продвижение и популяризацию;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инклюзивной среды и инфраструктуры для творческой самореализации женщин, молодежи, а также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системы образования и развития компетенций в сфере творческих (креативных)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новых товаров и услуг с высокой добавленной стоимостью, обусловленной использованием результатов творческой, интеллектуальной деятельности, повышение капитализации нематериальных активов российского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экспорта (расширение рынков) таких продуктов и (или) интеллектуальных прав;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ускоренный переход к новым направлениям "умной специализации" регионов, своевременное формирование адекватных тенденциям культурного и научно-технологического развития социально-экономических специализаций;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структуры занятости на территориях субъектов Российской Федерации, обеспечение устойчивости такой занятости и рост налогооблагаемой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экономической связанности и кооперации субъектов Российской Федерации, использование "сильных" сторон (ориентир на "умную специализацию") специализации регионов;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исторического, культурного наследия, айдентики, традиционных рецептов, включая локальный культурный контекст и сырье, возрождение и развитие народных художественных промыслов, их делокализация и масштабирование, воспроизводство в современных товарах и услугах;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культурной связности посредством воссоздания в исторических поселениях памятников истории и культуры, исторически ценных градоформирующих объектов, развитие сети историко-культурных заповедников и обеспечение роста циркуляции туристов и представителей творческих (креативных) индустрий между территориями;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инициирование и (или) встраивание в национальные и международные творческие, технологические, производственно-экономические сети и платформы, в том числе совместно с Организацией Объединенных Наций по промышленному развитию (ЮНИДО) и международной сетью креативных регионов DC Network;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инициирование совместно с Организацией Объединенных Наций по промышленному развитию (ЮНИДО) создания проекта в сфере поддержки творческих (креативных) индустрий, направленных на развитие и создание сети территорий сохранения и развития традиций и уклада бытования, с учетом опыта стран, входящих в состав Организации Объединенных Наций по промышленному развитию (ЮНИДО);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предотвращение оттока талантов и переход к положительному миграционному и туристическому "сальдо".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политика в сфере развития творческих (креативных) индустрий и творческого (креативного) предпринимательства базируется на следующих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"баланса" - обеспечение государственной поддержки как инициативного творческого (креативного) предпринимательства, так и предпринимательства, соответствующего приоритетам перспективной экономической специализации субъектов Российской Федерации и Российской Федерации в целом (отдельных индустрий), а также баланса при развитии необходимой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"экосистемного подхода" - обеспечение полноты и доступности всех механизмов поддержки творческих (креативных) индустрий и творческого (креативного) предпринимательства на территориях субъектов Российской Федерации, включая не только культурную и экономическую составляющую, но все области и аспекты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"инвариантности поддержки" - обеспечение доступности механизмов поддержки для всех типов организаций - как коммерческих, так и некоммерческих, индивидуальных предпринимателей, самозанятых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"координации" - синхронизация деятельности по поддержке и "бесшовная" стыковка механизмов поддержки творческих (креативных) индустрий и творческого (креативного) предпринимательства органами всех ветвей государственной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"стимулирования роста инвестиций" - обеспечение изменений экономических показателей, в первую очередь объемов инвестиции в основной капитал творческих (креативных) индустрий и стимулирование в случаях, когда это возможно, их перехода из категории локальных творческих (креативных) индустрий в категорию инвестиционных творческих (креативных)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"преемственности и инноваций" - опора на этнокультурные, исторические особенности и традиции, включая гарантии прав коренных малочисленных народов, в том числе при создании и масштабировании современных товаров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"локализации" - сохранение регионального размещения творческих (креативных) индустрий и творческого (креативного) предпринимательства при глобализации и расширении рынка, в том числе выхода на сетевые и (или) международные платформы.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Основные направления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развития творческих (креативных) индустрий и творческого</w:t>
      </w:r>
    </w:p>
    <w:p>
      <w:pPr>
        <w:pStyle w:val="2"/>
        <w:jc w:val="center"/>
      </w:pPr>
      <w:r>
        <w:rPr>
          <w:sz w:val="20"/>
        </w:rPr>
        <w:t xml:space="preserve">(креативного) предпринимательства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Основой всех механизмов государственной поддержки развития творческих (креативных) индустрий является закрепление в законодательстве Российской Федерации понятий, необходимых для развития института творческих (креативных) индустрий и творческого (креативного)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ускоренного формирования творческого (креативного) предпринимательства на базе имеющихся учреждений культуры целесообразно закрепить право таких учреждений на создание малых инновационных предприятий по аналогии с механизмом создания таких предприятий в сферах образования и науки.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 позволит усилить роль существующих учреждений культуры для развития новой творческой (креативной) предпринимательской деятельности, при этом не подменяя ее, а также снизить нагрузку на бюджетную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развития творческих (креативных) индустрий и творческого (креативного) предпринимательства осуществляется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территориальной инфраструктуры творческого (креативного) предпринимательства как общего назначения, включая социальную, так и специальной (профессиональной) инфраструктуры, ориентированной на конкретные виды творческой и (или)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системы знаний и компетенций как творческого, так и предпринимательского характера, включая приглашение специалистов как из России, так и из-за рубежа, для передачи неформализованных знаний и навыков;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информационного обеспечения, включающей в том числе возможность коммерческого и некоммерческого использования элементов историко-культурного, нематериального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финансовой инфраструктуры, ориентированной на различные стадии зрелости творческого (креативного) предпринимательства, включая "посевную стадию" (малые гранты), стадию обеспечения устойчивости (венчурную) и стадию масштабирования (выхода на новые рынки);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проработка предложений по уточнению механизмов налогообложения, в том числе совместно с субъектами Российской Федерации, по региональным и местным налогам и налогового администрирования с учетом специфики творческого (креативного) предпринимательства в части создания, распространения продуктов с высокой долей творческого труда, создания специализированной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системы сервисного обеспечения правовой охраны сделок с интеллектуальными правами и защиты прав результатов интеллектуальной деятельности в онлайн- и офлайн-средах, иных необходимых правовых и финансовых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экосистем, привлекательных для концентрации талантов, реализации амбициозных общественно-государственных проектов, требующих активной коммуникации и взаимодействия различных людей, территорий, институтов;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экспортной инфраструктуры - сервисное сопровождение экспансии товаров и услуг, содействие экспорту интеллектуальных прав на глобальные рынки.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территориальной инфраструктуры осуществляется посредством реализации в формате государственно-частного партнерства проектов реновации существующих городских жилых районов, скоординированного планирования и развития зеленых насаждений, образующих в том числе рекреационные зоны крупных городских агломераций и крупнейших городских агломераций, а также развитие локальных мультимодальных транспортных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Специализированная (профессиональная) инфраструктура для творческого (креативного) предпринимательства формируется за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содействия выводу крупных устаревших промышленных предприятий, находящихся в историческом фонде, из центральных частей городов и переводу освободившихся объектов в статус креативных кластеров как определенного типа (кино, анимация, архитектура, дизайн и т.д.), так и кросс-дисциплинарных;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содействия построению полных цепочек создания и дистрибуции товаров и услуг с высокой долей творческого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оснащения специальных объектов современным, в том числе высокотехнологичным, оборудованием (съемочных и (или) выставочных павильонов, звукозаписывающих студий, дата-центров, помещений для деловой коммуникации и образования), получающих статус центров коллективного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полноценного доступа к цифровой инфраструктуре, соответствующей специфическим потребностям креативных секторов (сервисы в сфере интеллектуальной собственности, платформы монетизации творческих продуктов, краудинвестинговые платформы, сервисы консультационной, в том числе правовой и бухгалтерской, поддержки стартапов в соответствующей сфере предпринимательства).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Соответствующая инфраструктура должна включать специализированные центры, решающие логистические, продюсерские и дистрибьюторские задачи, задачи управления коллективными товарными знаками, брендами территорий, включая наименования мест происхождения товаров и географические указания, информационно-рекламную поддержку.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территориальной инфраструктуры целесообразно предусмотреть инклюзивную среду и специализированные решения для творческой самореализации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развития знаний и компетенций как творческих, так и предпринимательских,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креативности, творческого мышления как навыка, а также знакомство с практиками творческих (креативных) индустрий в рамках основных общеобразовательных программ и (или) дополнительных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практикоориентированных курсов по созданию и (или) продюсированию творческих продуктов, осуществлению предпринимательской деятельности в образовательные программы среднего профессионального образования и образовательные программы высшего образования, расширение перечня таких образовательных программ и увеличение контрольных цифр приема на обучение по профессиям, специальностям, направлениям подготовки и научным специальностям в сфере творческих (креативных) индустрий за счет бюджетных ассигнований федерального бюджета, бюджетов субъектов Российской Федерации и местных бюджетов;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объемов повышения квалификации и профессиональной переподготовки преподавателей в сфере творческих (креативных) индустрий, а также инклюзивного трека и доступной образовательной инфраструктуры для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просветительских и образовательных проектов по основам предпринимательства, в том числе навыкам защиты и коммерциализации прав на результаты интеллектуальной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субсидирование приглашения специалистов-практиков как из Российской Федерации, так и из-за рубежа для участия в творческих (креативных) предпринимательских проектах, в том числе для непосредственной передачи актуальных навыков и знаний, необходимых для работы на глобальном рынке;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субсидирование "креативных стажировок" - программ, по которым молодые специалисты проходят стажировку и (или) практику в успешных российских и зарубежных организациях, инфраструктурных площадках сектора креативной экономики, а также в специализированных образовательных организациях и у конкретных мастеров-наставников;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творческих (креативных) инкубаторов на базе как творческих, так и иных профессиональных образовательных организаций и образовательных организаций высшего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информационного обеспечения, включающая возможность коммерческого и некоммерческого использования элементов историко-культурного, нематериального наследия, формируется за счет создания цифровых копий широкого круга архивных, музейных коллекций, объектов нематериального наследия и закрепления прав на такие цифровые копии за хранителями соответствующих ценностей, а также их использования для создания современных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Финансовая инфраструктура образуется региональными и федеральными фондами и институтами развития. "Бесшовная" поддержка творческого (креативного) предпринимательства и безбарьерный переход между различными источниками поддержки обеспечивается за счет общей системы критериев отнесения к творческому (креативному) предпринимательству (вне зависимости от той или иной индустрии) и коллективного договора о взаимном признании экспертизы и оценки эффективности проекта на предыдущей стадии.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Особенностью финансовой инфраструктуры, ориентированной на креативные секторы, должна стать интеграция финансовых организаций, частных инвесторов и региональных органов власти для разработки новых моделей инвестирования и инвестиционных продуктов (специальные инвестиционные фонды, краудфандинг и краудинвестинг, опционные модели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необходимо обеспечить информационный обмен между творческим (креативным) предпринимательством и инвесторами (например, создание питчинг-площадок креативных стартапов и развивающегося бизнеса).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Стадию масштабирования творческого (креативного) предпринимательства обеспечивает институт залога исключительных прав на результаты интеллектуальной деятельности. Для его реализации необходимы: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законодательство Российской Федерации, определяющих механизмы регистрации такого залога;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проработка вопроса, предусматривающего уточнение положений нормативных и методических документов, позволяющее банкам гибко оценивать качество залога интеллектуальных прав;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государственных, в том числе региональных гарантийных фондов, обеспечивающих резервы на покрытие возможных рисков невозврата кредитов.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Необходимым элементом финансовой инфраструктуры является поддержка саморегулируемых организаций, вырабатывающих стандарты работы творческих (креативных) индустрий, системы обеспечения качества и оценки стоимости творческих (креативных) товаров, услуг, а также интеллектуальных прав.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творческого (креативного) предпринимательства предполагает работу в следующих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регулирование сделок с интеллектуальными правами для творческих (креативных) индустрий на основе подходов, апробированных в отдельных отраслях (кинопроизводстве, разработке программного обеспечения, изобретательстве);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выплаты "справедливых вознаграждений" (компенсационных вознаграждений) авторам, включая изобретателей;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экспорту интеллектуальной собственности при условии несения экспортером затрат на надлежащую правовую охрану в странах экспорта;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стимулирование внебюджетных инвестиций, в том числе через краудинвестинговые платформы в творческие (креативные) индустрии и снижение их зависимости от бюджетной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сервисного обеспечения охраны прав интеллектуальной деятельности и защиты прав на результаты интеллектуальной деятельности может развиваться за счет реализации проектов в форме государственно-частного партнерства на базе технологических решений, созданных в рамках национальной </w:t>
      </w:r>
      <w:hyperlink w:history="0" r:id="rId16" w:tooltip="Ссылка на КонсультантПлюс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"Цифровая экономика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ключевых сервисов различными компаниями развиваются и предоставляются сервисы депонирования, фиксации авторских и смежных прав, цифровые сервисы по защите и охране прав на результаты интеллектуальной деятельности на территории Евразийского экономического союза и в других странах, сервисы формирования "портфелей прав", сделок с ними, включая коммерческую концессию, франчайзинг.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Списки лицензиатов используются для проактивного удаления и (или) блокировки нелегального контента и сведений о промышленных товарах в информационно-телекоммуникационной сети "Интернет" с участием операторов поисковых систем, органов судебной власти и Федеральной службы по надзору в сфере связи, информационных технологий и массовых коммуникаций. Аналогичные сервисы строятся для товарных рынков с участием Федеральной таможенной службы, Министерства внутренних дел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случаев, когда управление интеллектуальными правами затруднено или когда оценить потенциал дохода продукта на стадии формирования творческого результата, лежащего в его основе, невозможно, расширяются механизмы "справедливых вознаграждений" - поощрительных стимулирующих выплат авторам, создателям наиболее востребованных произведений и иных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экосистем для концентрации талантов осуществляется посредством реализации амбициозных сетевых общественно-государственных проектов в следующих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архитектура, современное градостроительство и "умный" город (поселок);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цифровые продукты и технологии для получения нового культурного опыта - путешествий, доступа к музейным коллекциям, выставкам, архитектурным и ландшафтным памятникам как в режиме виртуальной, так и дополненной реальности (задача - сбалансировать рынки услуг, доступные в реальной среде, а также виртуальной и дополненной реальности для обеспечения устойчивости креативной экономики в ситуациях, аналогичных локдауну 2020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"человекоцентричных" продуктов - функционального питания (гастрономия, "дизайн еды"), современной одежды, средств мониторинга здоровья и здоровьесбережения, медиаконтента и развлечений, включая разнообразные события и фестивали.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Соответствующие проекты реализуются посредством сочетания творческого (креативного) и технологического предпринимательства в симбиозе с реализацией </w:t>
      </w:r>
      <w:hyperlink w:history="0" r:id="rId17" w:tooltip="Указ Президента РФ от 01.12.2016 N 642 (ред. от 15.03.2021) &quot;О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научно-технологического развития Российской Федерации и Национальной технологической инициативы.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Сервисное сопровождение экспансии товаров и услуг, экспорта интеллектуальных прав на глобальном рынке создается в рамках национального </w:t>
      </w:r>
      <w:hyperlink w:history="0" r:id="rId18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"Международная кооперация и экспорт" 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поддержку участия в профессиональных выставках и международных конкурсах, в том числе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охране и защите интеллектуальных прав на зарубежных рынках, распространении (дистрибуции) продуктов на международных и зарубежных платформах;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международному франчайзингу, образованию экспортных консорциумов;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деловыми акселераторами и объединениями, международным инвестиционным сообществом.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Перечисленные меры могут применяться как к широкому кругу творческих (креативных) индустрий и творческого (креативного) предпринимательства, так и адресно с учетом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определенной группы творческих (креативных) индустрий с учетом Общероссийского </w:t>
      </w:r>
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11.05.2023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видов экономической деятельности (ОКВЭД);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видов результатов интеллектуальной деятельности, которые используются при создании продукта (товара,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определенной стадии развития бизнеса в соответствии с международной классификацией стадий бизнеса GEM;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конкретного социального портрета предпринимателя (социальное, женское, молодежное предпринимательство и пр.).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Механизмы реализации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Концепции обеспечивается согласованными действиями федеральных органов исполнительной власти, органов власти субъектов Российской Федерации, органов местного самоуправления, а также организаций, предпринимательского и профессионального сообществ.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 механизмом реализации Концепции является </w:t>
      </w:r>
      <w:hyperlink w:history="0" r:id="rId20" w:tooltip="Распоряжение Правительства РФ от 17.08.2022 N 2290-р (ред. от 14.03.2023) &lt;О Плане мероприятий по реализации в 2022 - 2024 гг.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&gt; {КонсультантПлюс}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ее реализации, разрабатываемый Министерством культуры Российской Федерации совместно с заинтересованными федеральными органами исполнительной власти, органами исполнительной власти субъектов Российской Федерации, организациями, предусматривающий конкретные мероприятия, в том числе по внесению изменений в законодательство Российской Федерации, государственные программы Российской Федерации и национальные проекты, а также порядок координации деятельности и взаимодействия в сфере творческих (креативных) индустрий, который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эффективной реализации Концепции необходима проработка возможности корректировки отдельных мероприятий национальных проектов и государственных программ,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территориальной инфраструктуры творческих (креативных) индустрий осуществляется в рамках приоритетного </w:t>
      </w:r>
      <w:hyperlink w:history="0" r:id="rId21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"Формирование комфортной городской среды", федерального </w:t>
      </w:r>
      <w:hyperlink w:history="0" r:id="rId22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"Дорожная сеть" национального </w:t>
      </w:r>
      <w:hyperlink w:history="0" r:id="rId23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"Безопасные и качественные автомобильные дороги", государственных программ Российской Федерации "</w:t>
      </w:r>
      <w:hyperlink w:history="0" r:id="rId24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илу с 01.06.2023) {КонсультантПлюс}">
        <w:r>
          <w:rPr>
            <w:sz w:val="20"/>
            <w:color w:val="0000ff"/>
          </w:rPr>
          <w:t xml:space="preserve">Обеспечение</w:t>
        </w:r>
      </w:hyperlink>
      <w:r>
        <w:rPr>
          <w:sz w:val="20"/>
        </w:rPr>
        <w:t xml:space="preserve"> доступным и комфортным жильем и коммунальными услугами граждан Российской Федерации" и "Комплексное </w:t>
      </w:r>
      <w:hyperlink w:history="0" r:id="rId25" w:tooltip="Постановление Правительства РФ от 31.05.2019 N 696 (ред. от 23.12.2022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развитие</w:t>
        </w:r>
      </w:hyperlink>
      <w:r>
        <w:rPr>
          <w:sz w:val="20"/>
        </w:rPr>
        <w:t xml:space="preserve"> сельских территорий";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финансовой инфраструктуры обеспечивается в рамках национального </w:t>
      </w:r>
      <w:hyperlink w:history="0" r:id="rId26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"Малое и среднее предпринимательство и поддержка индивидуальной предпринимательской инициативы", федерального </w:t>
      </w:r>
      <w:hyperlink w:history="0" r:id="rId27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"Системные меры по повышению производительности труда" национального </w:t>
      </w:r>
      <w:hyperlink w:history="0" r:id="rId28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"Производительность труда и поддержка занятости", а также государственных программ Российской Федерации "</w:t>
      </w:r>
      <w:hyperlink w:history="0" r:id="rId29" w:tooltip="Постановление Правительства РФ от 15.04.2014 N 298 (ред. от 01.02.2023) &quot;Об утверждении государственной программы Российской Федерации &quot;Содействие занятости населения&quot; {КонсультантПлюс}">
        <w:r>
          <w:rPr>
            <w:sz w:val="20"/>
            <w:color w:val="0000ff"/>
          </w:rPr>
          <w:t xml:space="preserve">Содействие</w:t>
        </w:r>
      </w:hyperlink>
      <w:r>
        <w:rPr>
          <w:sz w:val="20"/>
        </w:rPr>
        <w:t xml:space="preserve"> занятости населения" и "</w:t>
      </w:r>
      <w:hyperlink w:history="0" r:id="rId30" w:tooltip="Постановление Правительства РФ от 15.04.2014 N 328 (ред. от 14.06.2023) &quot;Об утверждении государственной программы Российской Федерации &quot;Развитие промышленности и повышение ее конкурентоспособности&quot; {КонсультантПлюс}">
        <w:r>
          <w:rPr>
            <w:sz w:val="20"/>
            <w:color w:val="0000ff"/>
          </w:rPr>
          <w:t xml:space="preserve">Развитие</w:t>
        </w:r>
      </w:hyperlink>
      <w:r>
        <w:rPr>
          <w:sz w:val="20"/>
        </w:rPr>
        <w:t xml:space="preserve"> промышленности и повышение ее конкурентоспособности";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необходимого сервисного обеспечения для управления и защиты прав интеллектуальной собственности в рамках федерального </w:t>
      </w:r>
      <w:hyperlink w:history="0" r:id="rId31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"Информационная инфраструктура" национальной </w:t>
      </w:r>
      <w:hyperlink w:history="0" r:id="rId32" w:tooltip="Ссылка на КонсультантПлюс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"Цифровая экономика Российской Федерации", государственной </w:t>
      </w:r>
      <w:hyperlink w:history="0" r:id="rId33" w:tooltip="Постановление Правительства РФ от 15.04.2014 N 313 (ред. от 29.04.2023) &quot;Об утверждении государственной программы Российской Федерации &quot;Информационное общество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"Информационное общество";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кооперации и экспорта в рамках национального </w:t>
      </w:r>
      <w:hyperlink w:history="0" r:id="rId34" w:tooltip="Ссылка на КонсультантПлюс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"Международная кооперация и экспорт", государственных программ Российской Федерации "Экономическое </w:t>
      </w:r>
      <w:hyperlink w:history="0" r:id="rId35" w:tooltip="Постановление Правительства РФ от 15.04.2014 N 316 (ред. от 13.06.2023) &quot;Об утверждении государственной программы Российской Федерации &quot;Экономическое развитие и инновационная экономика&quot; {КонсультантПлюс}">
        <w:r>
          <w:rPr>
            <w:sz w:val="20"/>
            <w:color w:val="0000ff"/>
          </w:rPr>
          <w:t xml:space="preserve">развитие</w:t>
        </w:r>
      </w:hyperlink>
      <w:r>
        <w:rPr>
          <w:sz w:val="20"/>
        </w:rPr>
        <w:t xml:space="preserve"> и инновационная экономика" и "</w:t>
      </w:r>
      <w:hyperlink w:history="0" r:id="rId36" w:tooltip="Постановление Правительства РФ от 15.04.2014 N 330 (ред. от 31.03.2021) &quot;Об утверждении государственной программы Российской Федерации &quot;Развитие внешнеэкономической деятельности&quot; ------------ Утратил силу или отменен {КонсультантПлюс}">
        <w:r>
          <w:rPr>
            <w:sz w:val="20"/>
            <w:color w:val="0000ff"/>
          </w:rPr>
          <w:t xml:space="preserve">Развитие</w:t>
        </w:r>
      </w:hyperlink>
      <w:r>
        <w:rPr>
          <w:sz w:val="20"/>
        </w:rPr>
        <w:t xml:space="preserve"> внешнеэкономической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формирования полноценной институциональной среды для развития творческих (креативных) индустрий и творческого (креативного) предпринимательства необходимо задействовать в том числе следующие программы и организационные инструменты: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системы налогообложения и налогового администрирования - федеральный </w:t>
      </w:r>
      <w:hyperlink w:history="0" r:id="rId37" w:tooltip="Ссылка на КонсультантПлюс">
        <w:r>
          <w:rPr>
            <w:sz w:val="20"/>
            <w:color w:val="0000ff"/>
          </w:rPr>
          <w:t xml:space="preserve">проект</w:t>
        </w:r>
      </w:hyperlink>
      <w:r>
        <w:rPr>
          <w:sz w:val="20"/>
        </w:rPr>
        <w:t xml:space="preserve"> "Нормативное регулирование цифровой среды" национальной </w:t>
      </w:r>
      <w:hyperlink w:history="0" r:id="rId38" w:tooltip="Ссылка на КонсультантПлюс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"Цифровая экономика Российской Федерации", механизм управления системными изменениями предпринимательской среды "Трансформация делового климата";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информации, включая нематериальное и историко-культурное наследие, - национальные проекты "Наука и университеты", </w:t>
      </w:r>
      <w:hyperlink w:history="0" r:id="rId39" w:tooltip="&quot;Паспорт национального проекта &quot;Культура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"Культура"</w:t>
        </w:r>
      </w:hyperlink>
      <w:r>
        <w:rPr>
          <w:sz w:val="20"/>
        </w:rPr>
        <w:t xml:space="preserve">, а также государственные программы Российской Федерации "</w:t>
      </w:r>
      <w:hyperlink w:history="0" r:id="rId40" w:tooltip="Постановление Правительства РФ от 15.04.2014 N 317 (ред. от 26.12.2022) &quot;Об утверждении государственной программы Российской Федерации &quot;Развитие культуры&quot; (с изм. и доп., вступ. в силу с 01.01.2023) {КонсультантПлюс}">
        <w:r>
          <w:rPr>
            <w:sz w:val="20"/>
            <w:color w:val="0000ff"/>
          </w:rPr>
          <w:t xml:space="preserve">Развитие</w:t>
        </w:r>
      </w:hyperlink>
      <w:r>
        <w:rPr>
          <w:sz w:val="20"/>
        </w:rPr>
        <w:t xml:space="preserve"> культуры" и "</w:t>
      </w:r>
      <w:hyperlink w:history="0" r:id="rId41" w:tooltip="Постановление Правительства РФ от 29.12.2016 N 1532 (ред. от 18.04.2023) &quot;Об утверждении государственной программы Российской Федерации &quot;Реализация государственной национальной политики&quot; {КонсультантПлюс}">
        <w:r>
          <w:rPr>
            <w:sz w:val="20"/>
            <w:color w:val="0000ff"/>
          </w:rPr>
          <w:t xml:space="preserve">Реализация</w:t>
        </w:r>
      </w:hyperlink>
      <w:r>
        <w:rPr>
          <w:sz w:val="20"/>
        </w:rPr>
        <w:t xml:space="preserve"> государственной национальной политики";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знаний и компетенций - национальный </w:t>
      </w:r>
      <w:hyperlink w:history="0" r:id="rId42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проект</w:t>
        </w:r>
      </w:hyperlink>
      <w:r>
        <w:rPr>
          <w:sz w:val="20"/>
        </w:rPr>
        <w:t xml:space="preserve"> "Образование", государственная </w:t>
      </w:r>
      <w:hyperlink w:history="0" r:id="rId43" w:tooltip="Постановление Правительства РФ от 26.12.2017 N 1642 (ред. от 27.02.2023) &quot;Об утверждении государственной программы Российской Федерации &quot;Развитие образования&quot;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Российской Федерации "Развитие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условий для концентрации талантов в субъектах Российской Федерации, крупнейших и крупных городских агломерациях - национальные проекты "Наука и университеты" и </w:t>
      </w:r>
      <w:hyperlink w:history="0" r:id="rId44" w:tooltip="&quot;Паспорт национального проекта &quot;Культура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"Культура"</w:t>
        </w:r>
      </w:hyperlink>
      <w:r>
        <w:rPr>
          <w:sz w:val="20"/>
        </w:rPr>
        <w:t xml:space="preserve">, приоритетный </w:t>
      </w:r>
      <w:hyperlink w:history="0" r:id="rId45" w:tooltip="Ссылка на КонсультантПлюс">
        <w:r>
          <w:rPr>
            <w:sz w:val="20"/>
            <w:color w:val="0000ff"/>
          </w:rPr>
          <w:t xml:space="preserve">проект</w:t>
        </w:r>
      </w:hyperlink>
      <w:r>
        <w:rPr>
          <w:sz w:val="20"/>
        </w:rPr>
        <w:t xml:space="preserve"> "Формирование комфортной городской среды", государственная </w:t>
      </w:r>
      <w:hyperlink w:history="0" r:id="rId46" w:tooltip="Постановление Правительства РФ от 29.03.2019 N 377 (ред. от 09.12.2022) &quot;Об утверждении государственной программы Российской Федерации &quot;Научно-технологическое развитие Российской Федерации&quot;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Российской Федерации "Научно-технологическое развитие Российской Федерации" и Государственная </w:t>
      </w:r>
      <w:hyperlink w:history="0" r:id="rId47" w:tooltip="Постановление Правительства РФ от 14.07.2012 N 717 (ред. от 13.06.2023) &quot;О Государственной программе развития сельского хозяйства и регулирования рынков сельскохозяйственной продукции, сырья и продовольствия&quot; (с изм. и доп., вступ. в силу с 04.07.2023)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развития сельского хозяйства и регулирования рынков сельскохозяйственной продукции, сырья и продовольствия.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реализации Концепции учитываются при формировании и корректировке национальных проектов и государственных программ Российской Федерации. Финансовое обеспечение реализации Концепции осуществляется за счет средств, предусмотренных на реализацию национальных проектов, государственных программ Российской Федерации, выделения специального направления грантовой поддержки, а также за счет внебюджетных источников.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Сценарии развития творческих (креативных) индустрий</w:t>
      </w:r>
    </w:p>
    <w:p>
      <w:pPr>
        <w:pStyle w:val="2"/>
        <w:jc w:val="center"/>
      </w:pPr>
      <w:r>
        <w:rPr>
          <w:sz w:val="20"/>
        </w:rPr>
        <w:t xml:space="preserve">и этапы реализации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учетом положений </w:t>
      </w:r>
      <w:hyperlink w:history="0" r:id="rId48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пространственного развития Российской Федерации на период до 2025 года при реализации Концепции возможны два альтернативных сценария развития творческих (креативных) индустрий в Российской Федерации - инерционный или форсированный (целевой).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Инерционный сценарий развития творческих (креативных) индустрий предполагает сохранение текущих тенденций и слабый, естественный рост сектора креативной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Форсированный (целевой) сценарий предполагает скоординированную реализацию мероприятий в рамках направлений и с учетом принципов и механизмов, определенных Концепцией, и предусматривает существенное увеличение вклада творческих (креативных) индустрий в национальный ВВП, рост экспорта творческих (креативных) товаров и услуг, рост числа рабочих мест в секторе креативной экономики и количества субъектов, относящихся к творческому (креативному) предпринимательству, их широкое сотрудничество с организациями культуры любой ведомственной принадлежности и форм собственности, хозяйственное освоение и вовлечение в оборот объектов материального и нематериального культурного наследия народов Российской Федерации, развитие всех направлений культурной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Концепции осуществляется в два этапа. На первом этапе предполагается введение необходимых критериев творческого (креативного) предпринимательства, реализация аналитических, проектных и организационных мероприятий. На втором - реализация крупных сетевых общественно-государственных проектов, способствующих концентрации и реализации талантов, достижению мультипликативного эффекта от создаваемых результатов интеллектуальной деятельности и статистически заметное увеличение показателей инвестиций в основной капитал.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Ожидаемые результаты и мониторинг реализации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Мониторинг реализации Концепции осуществляется в рамках общего мониторинга реализации </w:t>
      </w:r>
      <w:hyperlink w:history="0" r:id="rId49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пространственного развития Российской Федерации на период до 2025 года,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оценке объемов нематериальных активов и динамики налоговой базы по региональным и местным налогам, а также федеральным налогам в части, зачисляемой в бюджеты субъектов Российской Федерации и местные бюджеты;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показателям инвестиций в основной капитал по экономике субъектов Российской Федерации в целом, а также в соответствии с их перспективными экономическими специализациями;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динамики валового регионального продукта.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Применяются существующие подходы к оценке прибыли и доходов субъектов творческого (креативного) предпринимательства, торговли творческими товарами и услугами, а также занятости в творческом (креативном) предпринимательстве. Для полноты представления об изменении структуры экономики оценивается "креативная интенсивность" традиционных секторов экономики (инвестиции в нематериальные активы, доля работников творческого труда).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формирования унифицированных критериев творческого (креативного) предпринимательства и творческой (креативной) индустрии разрабатывается и реализуется новая модель статистического наблюдения, в том числе основанная на анализе больших массивов данных Федеральной налоговой службы, сведений о сделках с интеллектуальными правами и иных данных. С учетом международного опыта также формируется система статистического сопоставления, позволяющего репрезентативно сравнивать российские показатели с аналогичными показателями других стран.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оценки качества государственного регулирования и сервисного обеспечения творческого (креативного) предпринимательства и условий формирования и роста соответствующих творческих (креативных) индустрий разрабатывается индекс креативного потенциала территорий (возможности экономического роста творческих (креативных) индустрий в конкретной локации), индекс наличия (полноты, доступности, эффективности) механизмов государственной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Системная государственная поддержка творческих (креативных) индустрий в Российской Федерации должна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доли творческих (креативных) индустрий в экономике Российской Федерации с 2,21 процента до 3 процентов к 2024 году, до 6 процентов - к 2030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структуры занятости населения - увеличение доли занятости в творческих (креативных) профессиях, в том числе женщин, молодежи, а также лиц с ограниченными возможностями здоровья с 4,67 процента до 12 процентов - к 2024 году, до 15 процентов - к 2030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импортозамещение творческих (креативных) продуктов и услуг: снижение отрицательного сальдо экспорта-импорта на 50 процентов в 2024 году к уровню 2023 года и достижение положительного сальдо экспорта-импорта к 2030 году (в настоящий момент экспорт креативных услуг составляет 7,4 млрд. долларов США, импорт - 10,4 млрд. долларов США; креативных товаров - 1,7 и 5,7 млрд. долларов США соответственно);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доли творческих (креативных) индустрий и творческого (креативного) предпринимательства в Российской Федерации в целом в структуре мирового экспорта до 2,3 процента к 2024 году и до 3,5 процента к 2030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Концепции в субъектах Российской Федерации должна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конкурентоспособность экономик субъектов Российской Федерации и миграционную привлекательность для квалифицированных творческих кадров, в том числе международных кадров, предотвратить отток талантливой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налогооблагаемой базы за счет смещения производственных затрат на выплаты персоналу.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граждан основным результатом реализации Концепции должно стать изменение качества жизни, возможность вовлечения талантов в национальную экономику, получение экономических выгод от инвестиций в человеческий капитал и творческий труд.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20.09.2021 N 2613-р</w:t>
            <w:br/>
            <w:t>&lt;Об утверждении Концепции развития творческих (креативных) индустри...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BEF5AA49DAB346A29724857A04D6824DC1D96055E8E7F0E9DC5BBED8A21B8F1ABE7BAD66B50BBFA43C05635F09B5ECC493B28290960E292lDD8K" TargetMode = "External"/>
	<Relationship Id="rId8" Type="http://schemas.openxmlformats.org/officeDocument/2006/relationships/hyperlink" Target="consultantplus://offline/ref=5BEF5AA49DAB346A29724857A04D6824DB1997045D837F0E9DC5BBED8A21B8F1ABE7BAD66B50BBFA44C05635F09B5ECC493B28290960E292lDD8K" TargetMode = "External"/>
	<Relationship Id="rId9" Type="http://schemas.openxmlformats.org/officeDocument/2006/relationships/hyperlink" Target="consultantplus://offline/ref=5BEF5AA49DAB346A29724857A04D6824DC1C960558867F0E9DC5BBED8A21B8F1ABE7BAD66B50BAF346C05635F09B5ECC493B28290960E292lDD8K" TargetMode = "External"/>
	<Relationship Id="rId10" Type="http://schemas.openxmlformats.org/officeDocument/2006/relationships/hyperlink" Target="consultantplus://offline/ref=5BEF5AA49DAB346A29724857A04D6824DB1B990E5B807F0E9DC5BBED8A21B8F1B9E7E2DA6B57A5FB45D50064B6lCDDK" TargetMode = "External"/>
	<Relationship Id="rId11" Type="http://schemas.openxmlformats.org/officeDocument/2006/relationships/hyperlink" Target="consultantplus://offline/ref=5BEF5AA49DAB346A29724857A04D6824DA16990252D1280CCC90B5E88271E2E1BDAEB7D07550BCE540CB00l6D7K" TargetMode = "External"/>
	<Relationship Id="rId12" Type="http://schemas.openxmlformats.org/officeDocument/2006/relationships/hyperlink" Target="consultantplus://offline/ref=5BEF5AA49DAB346A29724857A04D6824DC1A96065F877F0E9DC5BBED8A21B8F1B9E7E2DA6B57A5FB45D50064B6lCDDK" TargetMode = "External"/>
	<Relationship Id="rId13" Type="http://schemas.openxmlformats.org/officeDocument/2006/relationships/hyperlink" Target="consultantplus://offline/ref=5BEF5AA49DAB346A29724857A04D6824DC1D96035E867F0E9DC5BBED8A21B8F1B9E7E2DA6B57A5FB45D50064B6lCDDK" TargetMode = "External"/>
	<Relationship Id="rId14" Type="http://schemas.openxmlformats.org/officeDocument/2006/relationships/hyperlink" Target="consultantplus://offline/ref=5BEF5AA49DAB346A29724857A04D6824DC1C960558867F0E9DC5BBED8A21B8F1ABE7BAD66B50BBFB4BC05635F09B5ECC493B28290960E292lDD8K" TargetMode = "External"/>
	<Relationship Id="rId15" Type="http://schemas.openxmlformats.org/officeDocument/2006/relationships/hyperlink" Target="consultantplus://offline/ref=5BEF5AA49DAB346A29724857A04D6824DC1C960558867F0E9DC5BBED8A21B8F1ABE7BAD66B50BBFB4BC05635F09B5ECC493B28290960E292lDD8K" TargetMode = "External"/>
	<Relationship Id="rId16" Type="http://schemas.openxmlformats.org/officeDocument/2006/relationships/hyperlink" Target="consultantplus://offline/ref=5BEF5AA49DAB346A2972564CA54D6824DB1C960F5C837F0E9DC5BBED8A21B8F1B9E7E2DA6B57A5FB45D50064B6lCDDK" TargetMode = "External"/>
	<Relationship Id="rId17" Type="http://schemas.openxmlformats.org/officeDocument/2006/relationships/hyperlink" Target="consultantplus://offline/ref=5BEF5AA49DAB346A29724857A04D6824DB1997045D837F0E9DC5BBED8A21B8F1ABE7BAD66B50BBFA44C05635F09B5ECC493B28290960E292lDD8K" TargetMode = "External"/>
	<Relationship Id="rId18" Type="http://schemas.openxmlformats.org/officeDocument/2006/relationships/hyperlink" Target="consultantplus://offline/ref=5BEF5AA49DAB346A2972564CA54D6824DB1F970558857F0E9DC5BBED8A21B8F1B9E7E2DA6B57A5FB45D50064B6lCDDK" TargetMode = "External"/>
	<Relationship Id="rId19" Type="http://schemas.openxmlformats.org/officeDocument/2006/relationships/hyperlink" Target="consultantplus://offline/ref=5BEF5AA49DAB346A29724857A04D6824DC1A9904598E7F0E9DC5BBED8A21B8F1B9E7E2DA6B57A5FB45D50064B6lCDDK" TargetMode = "External"/>
	<Relationship Id="rId20" Type="http://schemas.openxmlformats.org/officeDocument/2006/relationships/hyperlink" Target="consultantplus://offline/ref=5BEF5AA49DAB346A29724857A04D6824DC1A9C0651807F0E9DC5BBED8A21B8F1ABE7BAD66B50BBFB4BC05635F09B5ECC493B28290960E292lDD8K" TargetMode = "External"/>
	<Relationship Id="rId21" Type="http://schemas.openxmlformats.org/officeDocument/2006/relationships/hyperlink" Target="consultantplus://offline/ref=5BEF5AA49DAB346A2972564CA54D6824DA1F98055C877F0E9DC5BBED8A21B8F1B9E7E2DA6B57A5FB45D50064B6lCDDK" TargetMode = "External"/>
	<Relationship Id="rId22" Type="http://schemas.openxmlformats.org/officeDocument/2006/relationships/hyperlink" Target="consultantplus://offline/ref=5BEF5AA49DAB346A2972564CA54D6824DB1F9B0F5B8E7F0E9DC5BBED8A21B8F1B9E7E2DA6B57A5FB45D50064B6lCDDK" TargetMode = "External"/>
	<Relationship Id="rId23" Type="http://schemas.openxmlformats.org/officeDocument/2006/relationships/hyperlink" Target="consultantplus://offline/ref=5BEF5AA49DAB346A2972564CA54D6824DB1F970459827F0E9DC5BBED8A21B8F1B9E7E2DA6B57A5FB45D50064B6lCDDK" TargetMode = "External"/>
	<Relationship Id="rId24" Type="http://schemas.openxmlformats.org/officeDocument/2006/relationships/hyperlink" Target="consultantplus://offline/ref=5BEF5AA49DAB346A29724857A04D6824DC1A9C0E5D847F0E9DC5BBED8A21B8F1ABE7BAD66B50BBFA4BC05635F09B5ECC493B28290960E292lDD8K" TargetMode = "External"/>
	<Relationship Id="rId25" Type="http://schemas.openxmlformats.org/officeDocument/2006/relationships/hyperlink" Target="consultantplus://offline/ref=5BEF5AA49DAB346A29724857A04D6824DC1D980451817F0E9DC5BBED8A21B8F1ABE7BAD66B50BBFA46C05635F09B5ECC493B28290960E292lDD8K" TargetMode = "External"/>
	<Relationship Id="rId26" Type="http://schemas.openxmlformats.org/officeDocument/2006/relationships/hyperlink" Target="consultantplus://offline/ref=5BEF5AA49DAB346A2972564CA54D6824DB169C045F8E7F0E9DC5BBED8A21B8F1B9E7E2DA6B57A5FB45D50064B6lCDDK" TargetMode = "External"/>
	<Relationship Id="rId27" Type="http://schemas.openxmlformats.org/officeDocument/2006/relationships/hyperlink" Target="consultantplus://offline/ref=5BEF5AA49DAB346A2972564CA54D6824DB1F970159817F0E9DC5BBED8A21B8F1B9E7E2DA6B57A5FB45D50064B6lCDDK" TargetMode = "External"/>
	<Relationship Id="rId28" Type="http://schemas.openxmlformats.org/officeDocument/2006/relationships/hyperlink" Target="consultantplus://offline/ref=5BEF5AA49DAB346A2972564CA54D6824DB1F970558877F0E9DC5BBED8A21B8F1B9E7E2DA6B57A5FB45D50064B6lCDDK" TargetMode = "External"/>
	<Relationship Id="rId29" Type="http://schemas.openxmlformats.org/officeDocument/2006/relationships/hyperlink" Target="consultantplus://offline/ref=5BEF5AA49DAB346A29724857A04D6824DC1D970759807F0E9DC5BBED8A21B8F1ABE7BAD56E59B3FB499F5320E1C353CB50252F301562E0l9D3K" TargetMode = "External"/>
	<Relationship Id="rId30" Type="http://schemas.openxmlformats.org/officeDocument/2006/relationships/hyperlink" Target="consultantplus://offline/ref=5BEF5AA49DAB346A29724857A04D6824DC1A970F5E8E7F0E9DC5BBED8A21B8F1ABE7BAD66B59BEFF4BC05635F09B5ECC493B28290960E292lDD8K" TargetMode = "External"/>
	<Relationship Id="rId31" Type="http://schemas.openxmlformats.org/officeDocument/2006/relationships/hyperlink" Target="consultantplus://offline/ref=5BEF5AA49DAB346A2972564CA54D6824DB1C960E5A857F0E9DC5BBED8A21B8F1B9E7E2DA6B57A5FB45D50064B6lCDDK" TargetMode = "External"/>
	<Relationship Id="rId32" Type="http://schemas.openxmlformats.org/officeDocument/2006/relationships/hyperlink" Target="consultantplus://offline/ref=5BEF5AA49DAB346A2972564CA54D6824DB1C960F5C837F0E9DC5BBED8A21B8F1B9E7E2DA6B57A5FB45D50064B6lCDDK" TargetMode = "External"/>
	<Relationship Id="rId33" Type="http://schemas.openxmlformats.org/officeDocument/2006/relationships/hyperlink" Target="consultantplus://offline/ref=5BEF5AA49DAB346A29724857A04D6824DC1A98035A8F7F0E9DC5BBED8A21B8F1ABE7BAD66B57BCF343C05635F09B5ECC493B28290960E292lDD8K" TargetMode = "External"/>
	<Relationship Id="rId34" Type="http://schemas.openxmlformats.org/officeDocument/2006/relationships/hyperlink" Target="consultantplus://offline/ref=5BEF5AA49DAB346A2972564CA54D6824DB1F970558857F0E9DC5BBED8A21B8F1B9E7E2DA6B57A5FB45D50064B6lCDDK" TargetMode = "External"/>
	<Relationship Id="rId35" Type="http://schemas.openxmlformats.org/officeDocument/2006/relationships/hyperlink" Target="consultantplus://offline/ref=5BEF5AA49DAB346A29724857A04D6824DC1A970150867F0E9DC5BBED8A21B8F1ABE7BAD66B50BBFA44C05635F09B5ECC493B28290960E292lDD8K" TargetMode = "External"/>
	<Relationship Id="rId36" Type="http://schemas.openxmlformats.org/officeDocument/2006/relationships/hyperlink" Target="consultantplus://offline/ref=5BEF5AA49DAB346A29724857A04D6824DB169F005D857F0E9DC5BBED8A21B8F1ABE7BAD66D57BDFE499F5320E1C353CB50252F301562E0l9D3K" TargetMode = "External"/>
	<Relationship Id="rId37" Type="http://schemas.openxmlformats.org/officeDocument/2006/relationships/hyperlink" Target="consultantplus://offline/ref=5BEF5AA49DAB346A2972564CA54D6824DB17970E5E867F0E9DC5BBED8A21B8F1B9E7E2DA6B57A5FB45D50064B6lCDDK" TargetMode = "External"/>
	<Relationship Id="rId38" Type="http://schemas.openxmlformats.org/officeDocument/2006/relationships/hyperlink" Target="consultantplus://offline/ref=5BEF5AA49DAB346A2972564CA54D6824DB1C960F5C837F0E9DC5BBED8A21B8F1B9E7E2DA6B57A5FB45D50064B6lCDDK" TargetMode = "External"/>
	<Relationship Id="rId39" Type="http://schemas.openxmlformats.org/officeDocument/2006/relationships/hyperlink" Target="consultantplus://offline/ref=5BEF5AA49DAB346A29724857A04D6824DB1F970559807F0E9DC5BBED8A21B8F1B9E7E2DA6B57A5FB45D50064B6lCDDK" TargetMode = "External"/>
	<Relationship Id="rId40" Type="http://schemas.openxmlformats.org/officeDocument/2006/relationships/hyperlink" Target="consultantplus://offline/ref=5BEF5AA49DAB346A29724857A04D6824DC1D9F035E817F0E9DC5BBED8A21B8F1ABE7BAD66B53B3F0169A4631B9CE54D24E22362C1760lED1K" TargetMode = "External"/>
	<Relationship Id="rId41" Type="http://schemas.openxmlformats.org/officeDocument/2006/relationships/hyperlink" Target="consultantplus://offline/ref=5BEF5AA49DAB346A29724857A04D6824DC1A9B065C847F0E9DC5BBED8A21B8F1ABE7BAD66B50BBF842C05635F09B5ECC493B28290960E292lDD8K" TargetMode = "External"/>
	<Relationship Id="rId42" Type="http://schemas.openxmlformats.org/officeDocument/2006/relationships/hyperlink" Target="consultantplus://offline/ref=5BEF5AA49DAB346A29724857A04D6824DB1F9704598F7F0E9DC5BBED8A21B8F1B9E7E2DA6B57A5FB45D50064B6lCDDK" TargetMode = "External"/>
	<Relationship Id="rId43" Type="http://schemas.openxmlformats.org/officeDocument/2006/relationships/hyperlink" Target="consultantplus://offline/ref=5BEF5AA49DAB346A29724857A04D6824DC1A9F0058867F0E9DC5BBED8A21B8F1ABE7BAD66B50BBFA4BC05635F09B5ECC493B28290960E292lDD8K" TargetMode = "External"/>
	<Relationship Id="rId44" Type="http://schemas.openxmlformats.org/officeDocument/2006/relationships/hyperlink" Target="consultantplus://offline/ref=5BEF5AA49DAB346A29724857A04D6824DB1F970559807F0E9DC5BBED8A21B8F1B9E7E2DA6B57A5FB45D50064B6lCDDK" TargetMode = "External"/>
	<Relationship Id="rId45" Type="http://schemas.openxmlformats.org/officeDocument/2006/relationships/hyperlink" Target="consultantplus://offline/ref=5BEF5AA49DAB346A2972564CA54D6824DA1F98055C877F0E9DC5BBED8A21B8F1B9E7E2DA6B57A5FB45D50064B6lCDDK" TargetMode = "External"/>
	<Relationship Id="rId46" Type="http://schemas.openxmlformats.org/officeDocument/2006/relationships/hyperlink" Target="consultantplus://offline/ref=5BEF5AA49DAB346A29724857A04D6824DC1D9A0558877F0E9DC5BBED8A21B8F1ABE7BADE6956B9F0169A4631B9CE54D24E22362C1760lED1K" TargetMode = "External"/>
	<Relationship Id="rId47" Type="http://schemas.openxmlformats.org/officeDocument/2006/relationships/hyperlink" Target="consultantplus://offline/ref=5BEF5AA49DAB346A29724857A04D6824DC1B9E005C877F0E9DC5BBED8A21B8F1ABE7BAD66E59B9FF46C05635F09B5ECC493B28290960E292lDD8K" TargetMode = "External"/>
	<Relationship Id="rId48" Type="http://schemas.openxmlformats.org/officeDocument/2006/relationships/hyperlink" Target="consultantplus://offline/ref=5BEF5AA49DAB346A29724857A04D6824DC1C960558867F0E9DC5BBED8A21B8F1ABE7BAD66B50BBFB4BC05635F09B5ECC493B28290960E292lDD8K" TargetMode = "External"/>
	<Relationship Id="rId49" Type="http://schemas.openxmlformats.org/officeDocument/2006/relationships/hyperlink" Target="consultantplus://offline/ref=5BEF5AA49DAB346A29724857A04D6824DC1C960558867F0E9DC5BBED8A21B8F1ABE7BAD66B50BBFB4BC05635F09B5ECC493B28290960E292lDD8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20.09.2021 N 2613-р
&lt;Об утверждении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года&gt;</dc:title>
  <dcterms:created xsi:type="dcterms:W3CDTF">2023-07-07T10:03:34Z</dcterms:created>
</cp:coreProperties>
</file>